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911"/>
        <w:gridCol w:w="1296"/>
        <w:gridCol w:w="3496"/>
      </w:tblGrid>
      <w:tr w:rsidR="003C5249" w:rsidRPr="003C5249" w:rsidTr="00B4039C">
        <w:trPr>
          <w:trHeight w:val="397"/>
          <w:tblHeader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78786F" w:rsidRPr="003C5249" w:rsidRDefault="0078786F" w:rsidP="0078786F">
            <w:pPr>
              <w:spacing w:before="60" w:after="60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3C5249">
              <w:rPr>
                <w:b/>
                <w:sz w:val="22"/>
              </w:rPr>
              <w:t>Cilj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78786F" w:rsidRPr="003C5249" w:rsidRDefault="0078786F" w:rsidP="0078786F">
            <w:pPr>
              <w:spacing w:before="60" w:after="60"/>
              <w:jc w:val="center"/>
              <w:rPr>
                <w:b/>
                <w:sz w:val="22"/>
              </w:rPr>
            </w:pPr>
            <w:r w:rsidRPr="003C5249">
              <w:rPr>
                <w:b/>
                <w:sz w:val="22"/>
              </w:rPr>
              <w:t>Prijedlozi za poboljšanje – način ostvarivanja cilja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8786F" w:rsidRPr="003C5249" w:rsidRDefault="0078786F" w:rsidP="0078786F">
            <w:pPr>
              <w:spacing w:before="60" w:after="60"/>
              <w:jc w:val="center"/>
              <w:rPr>
                <w:b/>
                <w:sz w:val="22"/>
              </w:rPr>
            </w:pPr>
            <w:r w:rsidRPr="003C5249">
              <w:rPr>
                <w:b/>
                <w:sz w:val="22"/>
              </w:rPr>
              <w:t>Odgovorna osoba</w:t>
            </w:r>
          </w:p>
        </w:tc>
        <w:tc>
          <w:tcPr>
            <w:tcW w:w="3496" w:type="dxa"/>
            <w:vAlign w:val="center"/>
          </w:tcPr>
          <w:p w:rsidR="0078786F" w:rsidRPr="003C5249" w:rsidRDefault="0078786F" w:rsidP="0078786F">
            <w:pPr>
              <w:spacing w:before="60" w:after="60"/>
              <w:jc w:val="center"/>
              <w:rPr>
                <w:b/>
                <w:sz w:val="22"/>
              </w:rPr>
            </w:pPr>
            <w:r w:rsidRPr="003C5249">
              <w:rPr>
                <w:b/>
                <w:sz w:val="22"/>
              </w:rPr>
              <w:t>Resursi potrebni za realizaciju ciljeva</w:t>
            </w:r>
          </w:p>
        </w:tc>
      </w:tr>
      <w:tr w:rsidR="003C5249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78786F" w:rsidRPr="003C5249" w:rsidRDefault="003C5249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>Učenici ostvariti sate praktične nastave u objektima – 100%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78786F" w:rsidRPr="003C5249" w:rsidRDefault="003C5249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Redovita analiza ostvarenih sati praktične nastave u objektima kroz školsku godinu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8786F" w:rsidRPr="003C5249" w:rsidRDefault="003C5249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Voditelji praktične nastave</w:t>
            </w:r>
          </w:p>
        </w:tc>
        <w:tc>
          <w:tcPr>
            <w:tcW w:w="3496" w:type="dxa"/>
            <w:vMerge w:val="restart"/>
            <w:vAlign w:val="center"/>
          </w:tcPr>
          <w:p w:rsidR="003C5249" w:rsidRPr="003C5249" w:rsidRDefault="003C5249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 xml:space="preserve"> Suradnja vodi</w:t>
            </w:r>
          </w:p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(Godišnji plan i program rada, Kurikulum)</w:t>
            </w:r>
          </w:p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Nisu potrebna posebna financijska sredstva</w:t>
            </w:r>
          </w:p>
        </w:tc>
      </w:tr>
      <w:tr w:rsidR="003C5249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65BCC" w:rsidRPr="003C5249" w:rsidRDefault="003C5249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>Ukupno opravdanih i neopravdanih po učeniku najviše 86, odnosno smanjiti za 10% u odnosu na prošlu godinu.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C5249" w:rsidRPr="003C5249" w:rsidRDefault="003C5249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Rad na osvješćivanju učenika o prekomjernom izostajanju s nastave koje jednim dijelom utječe na uspjeh.</w:t>
            </w:r>
            <w:r w:rsidR="00B4039C">
              <w:rPr>
                <w:sz w:val="22"/>
              </w:rPr>
              <w:t xml:space="preserve"> </w:t>
            </w:r>
            <w:r w:rsidRPr="003C5249">
              <w:rPr>
                <w:sz w:val="22"/>
              </w:rPr>
              <w:t>Individualni rad razrednika i stručnih suradnika s učenicima koji često izostaju ili su skloni izbjegavanju nastave.</w:t>
            </w:r>
            <w:r w:rsidR="00B4039C">
              <w:rPr>
                <w:sz w:val="22"/>
              </w:rPr>
              <w:t xml:space="preserve"> </w:t>
            </w:r>
            <w:r w:rsidRPr="003C5249">
              <w:rPr>
                <w:sz w:val="22"/>
              </w:rPr>
              <w:t>Rano prepoznavanje potencijalnih problema kako se broj izostanaka ne bi povećao.</w:t>
            </w:r>
          </w:p>
          <w:p w:rsidR="00965BCC" w:rsidRPr="003C5249" w:rsidRDefault="003C5249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Pohvaljivanje razreda i učenika s najmanjim brojem izostanaka.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65BCC" w:rsidRPr="003C5249" w:rsidRDefault="003C5249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 xml:space="preserve">Razrednici i stručna služba </w:t>
            </w:r>
          </w:p>
        </w:tc>
        <w:tc>
          <w:tcPr>
            <w:tcW w:w="3496" w:type="dxa"/>
            <w:vMerge/>
            <w:vAlign w:val="center"/>
          </w:tcPr>
          <w:p w:rsidR="00965BCC" w:rsidRPr="003C5249" w:rsidRDefault="00965BCC" w:rsidP="00B4039C">
            <w:pPr>
              <w:jc w:val="center"/>
              <w:rPr>
                <w:sz w:val="22"/>
              </w:rPr>
            </w:pPr>
          </w:p>
        </w:tc>
      </w:tr>
      <w:tr w:rsidR="003C5249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78786F" w:rsidRPr="003C5249" w:rsidRDefault="006D1AE7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 xml:space="preserve">Sudjelovanje djelatnika škole na </w:t>
            </w:r>
            <w:r w:rsidR="00965BCC" w:rsidRPr="003C5249">
              <w:rPr>
                <w:sz w:val="22"/>
              </w:rPr>
              <w:t>45</w:t>
            </w:r>
            <w:r w:rsidRPr="003C5249">
              <w:rPr>
                <w:sz w:val="22"/>
              </w:rPr>
              <w:t xml:space="preserve"> stručnih skupova/webinara</w:t>
            </w:r>
            <w:r w:rsidR="0078786F" w:rsidRPr="003C5249">
              <w:rPr>
                <w:sz w:val="22"/>
              </w:rPr>
              <w:t>.</w:t>
            </w:r>
          </w:p>
        </w:tc>
        <w:tc>
          <w:tcPr>
            <w:tcW w:w="5911" w:type="dxa"/>
            <w:vMerge w:val="restart"/>
            <w:shd w:val="clear" w:color="auto" w:fill="auto"/>
            <w:vAlign w:val="center"/>
          </w:tcPr>
          <w:p w:rsidR="0078786F" w:rsidRPr="003C5249" w:rsidRDefault="0078786F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Iznalaženje financijskih sredstava za stručno usavršavanje djelatnika (nastavnika)</w:t>
            </w:r>
          </w:p>
          <w:p w:rsidR="003C5249" w:rsidRPr="003C5249" w:rsidRDefault="003C5249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Redovito pratiti vremenik stručnog usavršavanja na stranicama AZOO, ASOO i NCVVO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 xml:space="preserve">Nastavnici (stručna vijeća) </w:t>
            </w:r>
          </w:p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Ravnatelj</w:t>
            </w:r>
          </w:p>
        </w:tc>
        <w:tc>
          <w:tcPr>
            <w:tcW w:w="3496" w:type="dxa"/>
            <w:vMerge w:val="restart"/>
            <w:vAlign w:val="center"/>
          </w:tcPr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 xml:space="preserve">Potrebno osigurati financijska sredstva za odlazak na stručna usavršavanja </w:t>
            </w:r>
          </w:p>
          <w:p w:rsidR="0078786F" w:rsidRPr="003C5249" w:rsidRDefault="0078786F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(financijski plan)</w:t>
            </w:r>
          </w:p>
        </w:tc>
      </w:tr>
      <w:tr w:rsidR="003C5249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78786F" w:rsidRPr="003C5249" w:rsidRDefault="009410D3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>Ostvariti dva</w:t>
            </w:r>
            <w:r w:rsidR="0078786F" w:rsidRPr="003C5249">
              <w:rPr>
                <w:sz w:val="22"/>
              </w:rPr>
              <w:t xml:space="preserve"> napredovanja </w:t>
            </w:r>
            <w:r w:rsidR="00965BCC" w:rsidRPr="003C5249">
              <w:rPr>
                <w:sz w:val="22"/>
              </w:rPr>
              <w:t xml:space="preserve">ili obnavljanja napredovanja </w:t>
            </w:r>
            <w:r w:rsidR="0078786F" w:rsidRPr="003C5249">
              <w:rPr>
                <w:sz w:val="22"/>
              </w:rPr>
              <w:t>nastavnika u struci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78786F" w:rsidRPr="003C5249" w:rsidRDefault="0078786F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78786F" w:rsidRPr="003C5249" w:rsidRDefault="0078786F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78786F" w:rsidRPr="003C5249" w:rsidRDefault="0078786F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>Ostvariti završnost učenika</w:t>
            </w:r>
            <w:r>
              <w:rPr>
                <w:sz w:val="22"/>
              </w:rPr>
              <w:t>:</w:t>
            </w:r>
          </w:p>
        </w:tc>
        <w:tc>
          <w:tcPr>
            <w:tcW w:w="5911" w:type="dxa"/>
            <w:vMerge w:val="restart"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  <w:r>
              <w:rPr>
                <w:sz w:val="22"/>
              </w:rPr>
              <w:t>Prepoznati učenike s poteškoćama i po potrebi organizirati dopunsku nastavu za sadržaje kod kojih veći broj učenika ostvaruje lošije rezultate. Individualizirani programi, rad s djecom s poteškoćama. Suradnja s roditeljima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4039C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Nastavnici</w:t>
            </w:r>
          </w:p>
          <w:p w:rsidR="00B4039C" w:rsidRPr="003C5249" w:rsidRDefault="00B4039C" w:rsidP="00B403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Razrednici</w:t>
            </w:r>
          </w:p>
        </w:tc>
        <w:tc>
          <w:tcPr>
            <w:tcW w:w="3496" w:type="dxa"/>
            <w:vMerge w:val="restart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Planiranje dodatne i dopunske nastave iz obveznih predmeta na DM (plaće nastavnika)</w:t>
            </w: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opća gimnazija 95%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četverogodišnja strukovna škola 90%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trogodišnja strukovna škola 85%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B4039C" w:rsidRDefault="00B4039C" w:rsidP="00B4039C">
            <w:pPr>
              <w:pStyle w:val="Odlomakpopisa"/>
              <w:numPr>
                <w:ilvl w:val="0"/>
                <w:numId w:val="5"/>
              </w:numPr>
              <w:ind w:left="348" w:hanging="283"/>
              <w:rPr>
                <w:sz w:val="22"/>
              </w:rPr>
            </w:pPr>
            <w:r w:rsidRPr="003C5249">
              <w:rPr>
                <w:sz w:val="22"/>
              </w:rPr>
              <w:t>Sudjelovanje na raznim natjecanjima</w:t>
            </w:r>
            <w:r>
              <w:rPr>
                <w:sz w:val="22"/>
              </w:rPr>
              <w:t>:</w:t>
            </w:r>
          </w:p>
        </w:tc>
        <w:tc>
          <w:tcPr>
            <w:tcW w:w="5911" w:type="dxa"/>
            <w:vMerge w:val="restart"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Poticati nastavnike i učenike na izvannastavne aktivnosti (projekti, natjecanja, dodatna nastava i sl.) temeljem kojih će ostvariti kvalitetnije rezultate na školskim natjecanjima kako bi što veći broj učenika postigao rezultate za sudjelovanje na županijskim i državnim natjecanjima.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Nastavnici</w:t>
            </w:r>
          </w:p>
        </w:tc>
        <w:tc>
          <w:tcPr>
            <w:tcW w:w="3496" w:type="dxa"/>
            <w:vMerge w:val="restart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Potrebno osigurati financijska sredstva za odlazak na natjecanja</w:t>
            </w:r>
          </w:p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(financijski plan)</w:t>
            </w: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županijska natjecanja iz 13 predmeta, košarke i odbojke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državna natjecanja iz 2 teoretska predmeta i bar tri iz struke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sudjelovanje na barem tri natjecanja u organizaciji izvan MZO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3C5249">
              <w:rPr>
                <w:sz w:val="22"/>
              </w:rPr>
              <w:t>ostvarivanje barem trećeg mjesta na veslačkim regatama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cantSplit/>
          <w:trHeight w:val="20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5"/>
              </w:numPr>
              <w:ind w:left="384" w:hanging="283"/>
              <w:rPr>
                <w:sz w:val="22"/>
              </w:rPr>
            </w:pPr>
            <w:r w:rsidRPr="003C5249">
              <w:rPr>
                <w:sz w:val="22"/>
              </w:rPr>
              <w:t>Prilikom upisa na fakultete ostvariti upis prvog ili drugog željenog studija</w:t>
            </w:r>
            <w:r>
              <w:rPr>
                <w:sz w:val="22"/>
              </w:rPr>
              <w:t>:</w:t>
            </w:r>
          </w:p>
        </w:tc>
        <w:tc>
          <w:tcPr>
            <w:tcW w:w="5911" w:type="dxa"/>
            <w:vMerge w:val="restart"/>
            <w:shd w:val="clear" w:color="auto" w:fill="auto"/>
            <w:vAlign w:val="center"/>
          </w:tcPr>
          <w:p w:rsidR="00B4039C" w:rsidRPr="003C5249" w:rsidRDefault="00B4039C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Pripremati učenike za ispite Državne mature kroz redovnu nastavu, dopunsku nastavu i druge pripreme.</w:t>
            </w:r>
          </w:p>
          <w:p w:rsidR="00B4039C" w:rsidRPr="003C5249" w:rsidRDefault="00B4039C" w:rsidP="00B4039C">
            <w:pPr>
              <w:rPr>
                <w:sz w:val="22"/>
              </w:rPr>
            </w:pPr>
            <w:r w:rsidRPr="003C5249">
              <w:rPr>
                <w:sz w:val="22"/>
              </w:rPr>
              <w:t>Usmjeravanje učenika na odabir studija koji odgovara njihovim sposobnostima i afinitetima.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Predmetni nastavnici</w:t>
            </w:r>
          </w:p>
        </w:tc>
        <w:tc>
          <w:tcPr>
            <w:tcW w:w="3496" w:type="dxa"/>
            <w:vMerge w:val="restart"/>
            <w:vAlign w:val="center"/>
          </w:tcPr>
          <w:p w:rsidR="00B4039C" w:rsidRPr="003C5249" w:rsidRDefault="00B4039C" w:rsidP="00B4039C">
            <w:pPr>
              <w:jc w:val="center"/>
              <w:rPr>
                <w:sz w:val="22"/>
              </w:rPr>
            </w:pPr>
            <w:r w:rsidRPr="003C5249">
              <w:rPr>
                <w:sz w:val="22"/>
              </w:rPr>
              <w:t>Planiranje dodatne i dopunske nastave iz obveznih predmeta na DM (plaće nastavnika)</w:t>
            </w:r>
          </w:p>
        </w:tc>
      </w:tr>
      <w:tr w:rsidR="00B4039C" w:rsidRPr="003C5249" w:rsidTr="00B4039C">
        <w:trPr>
          <w:trHeight w:val="39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ind w:left="782" w:hanging="357"/>
              <w:rPr>
                <w:sz w:val="22"/>
              </w:rPr>
            </w:pPr>
            <w:r w:rsidRPr="003C5249">
              <w:rPr>
                <w:sz w:val="22"/>
              </w:rPr>
              <w:t>gimnazijski razredi 90%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3C5249">
            <w:pPr>
              <w:spacing w:before="60" w:after="60"/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3C524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3C524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B4039C" w:rsidRPr="003C5249" w:rsidTr="00B4039C">
        <w:trPr>
          <w:trHeight w:val="39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B4039C" w:rsidRPr="003C5249" w:rsidRDefault="00B4039C" w:rsidP="00B4039C">
            <w:pPr>
              <w:pStyle w:val="Odlomakpopisa"/>
              <w:numPr>
                <w:ilvl w:val="0"/>
                <w:numId w:val="7"/>
              </w:numPr>
              <w:ind w:left="782" w:hanging="357"/>
              <w:rPr>
                <w:sz w:val="22"/>
              </w:rPr>
            </w:pPr>
            <w:r w:rsidRPr="003C5249">
              <w:rPr>
                <w:sz w:val="22"/>
              </w:rPr>
              <w:t>strukovna škola 80%</w:t>
            </w:r>
          </w:p>
        </w:tc>
        <w:tc>
          <w:tcPr>
            <w:tcW w:w="5911" w:type="dxa"/>
            <w:vMerge/>
            <w:shd w:val="clear" w:color="auto" w:fill="auto"/>
            <w:vAlign w:val="center"/>
          </w:tcPr>
          <w:p w:rsidR="00B4039C" w:rsidRPr="003C5249" w:rsidRDefault="00B4039C" w:rsidP="003C5249">
            <w:pPr>
              <w:spacing w:before="60" w:after="60"/>
              <w:rPr>
                <w:sz w:val="22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B4039C" w:rsidRPr="003C5249" w:rsidRDefault="00B4039C" w:rsidP="003C524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496" w:type="dxa"/>
            <w:vMerge/>
            <w:vAlign w:val="center"/>
          </w:tcPr>
          <w:p w:rsidR="00B4039C" w:rsidRPr="003C5249" w:rsidRDefault="00B4039C" w:rsidP="003C5249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387892" w:rsidRDefault="00387892" w:rsidP="00387892">
      <w:pPr>
        <w:tabs>
          <w:tab w:val="right" w:pos="13320"/>
        </w:tabs>
      </w:pPr>
    </w:p>
    <w:tbl>
      <w:tblPr>
        <w:tblW w:w="14730" w:type="dxa"/>
        <w:jc w:val="center"/>
        <w:tblLook w:val="04A0" w:firstRow="1" w:lastRow="0" w:firstColumn="1" w:lastColumn="0" w:noHBand="0" w:noVBand="1"/>
      </w:tblPr>
      <w:tblGrid>
        <w:gridCol w:w="4831"/>
        <w:gridCol w:w="4506"/>
        <w:gridCol w:w="1516"/>
        <w:gridCol w:w="3877"/>
      </w:tblGrid>
      <w:tr w:rsidR="006333BB" w:rsidTr="00B4039C">
        <w:trPr>
          <w:trHeight w:val="59"/>
          <w:jc w:val="center"/>
        </w:trPr>
        <w:tc>
          <w:tcPr>
            <w:tcW w:w="4831" w:type="dxa"/>
            <w:shd w:val="clear" w:color="auto" w:fill="auto"/>
          </w:tcPr>
          <w:p w:rsidR="006333BB" w:rsidRDefault="00B6667F" w:rsidP="00B6667F">
            <w:r>
              <w:t xml:space="preserve">U Malom Lošinju, </w:t>
            </w:r>
            <w:r w:rsidR="003C5249">
              <w:t>3</w:t>
            </w:r>
            <w:r w:rsidR="00D43F89">
              <w:t>.</w:t>
            </w:r>
            <w:r w:rsidR="00871B15">
              <w:t xml:space="preserve"> </w:t>
            </w:r>
            <w:r w:rsidR="003C5249">
              <w:t>listopad</w:t>
            </w:r>
            <w:r w:rsidR="00871B15">
              <w:t>a</w:t>
            </w:r>
            <w:r w:rsidR="00D43F89">
              <w:t xml:space="preserve"> 201</w:t>
            </w:r>
            <w:r w:rsidR="003C5249">
              <w:t>8</w:t>
            </w:r>
            <w:r w:rsidR="006333BB">
              <w:t>.</w:t>
            </w:r>
          </w:p>
        </w:tc>
        <w:tc>
          <w:tcPr>
            <w:tcW w:w="4506" w:type="dxa"/>
            <w:shd w:val="clear" w:color="auto" w:fill="auto"/>
          </w:tcPr>
          <w:p w:rsidR="006333BB" w:rsidRDefault="006333BB" w:rsidP="00B4039C">
            <w:pPr>
              <w:jc w:val="center"/>
            </w:pPr>
            <w:r>
              <w:t>Upravitelj kvalitete:</w:t>
            </w:r>
            <w:r w:rsidR="00B4039C">
              <w:t xml:space="preserve"> </w:t>
            </w:r>
            <w:r>
              <w:t>Aldina Burić</w:t>
            </w:r>
          </w:p>
        </w:tc>
        <w:tc>
          <w:tcPr>
            <w:tcW w:w="1516" w:type="dxa"/>
            <w:shd w:val="clear" w:color="auto" w:fill="auto"/>
          </w:tcPr>
          <w:p w:rsidR="006333BB" w:rsidRDefault="006333BB" w:rsidP="00B84D18">
            <w:pPr>
              <w:tabs>
                <w:tab w:val="right" w:pos="13320"/>
              </w:tabs>
              <w:jc w:val="center"/>
            </w:pPr>
          </w:p>
        </w:tc>
        <w:tc>
          <w:tcPr>
            <w:tcW w:w="3877" w:type="dxa"/>
            <w:shd w:val="clear" w:color="auto" w:fill="auto"/>
          </w:tcPr>
          <w:p w:rsidR="006333BB" w:rsidRDefault="006333BB" w:rsidP="00B4039C">
            <w:pPr>
              <w:tabs>
                <w:tab w:val="right" w:pos="13320"/>
              </w:tabs>
              <w:jc w:val="center"/>
            </w:pPr>
            <w:r>
              <w:t>Ravnateljica:</w:t>
            </w:r>
            <w:r w:rsidR="00B4039C">
              <w:t xml:space="preserve"> </w:t>
            </w:r>
            <w:r>
              <w:t>Jelena Bralić</w:t>
            </w:r>
          </w:p>
        </w:tc>
      </w:tr>
    </w:tbl>
    <w:p w:rsidR="006333BB" w:rsidRDefault="006333BB">
      <w:pPr>
        <w:ind w:left="9356"/>
        <w:jc w:val="center"/>
      </w:pPr>
    </w:p>
    <w:sectPr w:rsidR="006333BB" w:rsidSect="006333BB">
      <w:headerReference w:type="default" r:id="rId8"/>
      <w:footerReference w:type="default" r:id="rId9"/>
      <w:pgSz w:w="16838" w:h="11906" w:orient="landscape"/>
      <w:pgMar w:top="1418" w:right="1418" w:bottom="56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1A" w:rsidRDefault="000D721A">
      <w:r>
        <w:separator/>
      </w:r>
    </w:p>
  </w:endnote>
  <w:endnote w:type="continuationSeparator" w:id="0">
    <w:p w:rsidR="000D721A" w:rsidRDefault="000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F2" w:rsidRDefault="00E541F2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:rsidR="00E541F2" w:rsidRDefault="00E541F2">
    <w:pPr>
      <w:pStyle w:val="Podnoje"/>
      <w:jc w:val="center"/>
      <w:rPr>
        <w:sz w:val="16"/>
      </w:rPr>
    </w:pPr>
    <w:r>
      <w:rPr>
        <w:sz w:val="16"/>
      </w:rPr>
      <w:t>Sva prava pridržava Srednja škola Ambroza Haračića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1A" w:rsidRDefault="000D721A">
      <w:r>
        <w:separator/>
      </w:r>
    </w:p>
  </w:footnote>
  <w:footnote w:type="continuationSeparator" w:id="0">
    <w:p w:rsidR="000D721A" w:rsidRDefault="000D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10993"/>
      <w:gridCol w:w="1843"/>
    </w:tblGrid>
    <w:tr w:rsidR="00E541F2" w:rsidTr="00434FDD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E541F2" w:rsidRDefault="00E65FDE">
          <w:pPr>
            <w:pStyle w:val="Zaglavlje"/>
            <w:jc w:val="center"/>
          </w:pPr>
          <w:r w:rsidRPr="00CA08E8">
            <w:rPr>
              <w:noProof/>
            </w:rPr>
            <w:drawing>
              <wp:inline distT="0" distB="0" distL="0" distR="0">
                <wp:extent cx="609600" cy="572135"/>
                <wp:effectExtent l="0" t="0" r="0" b="0"/>
                <wp:docPr id="1" name="Picture 8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vAlign w:val="center"/>
        </w:tcPr>
        <w:p w:rsidR="00E541F2" w:rsidRDefault="00E541F2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1843" w:type="dxa"/>
          <w:vMerge w:val="restart"/>
          <w:vAlign w:val="center"/>
        </w:tcPr>
        <w:p w:rsidR="00E541F2" w:rsidRDefault="00E541F2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 xml:space="preserve">Stranica:              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 w:rsidR="007973B8">
            <w:rPr>
              <w:rStyle w:val="Brojstranice"/>
              <w:noProof/>
              <w:sz w:val="16"/>
            </w:rPr>
            <w:t>1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 w:rsidR="007973B8">
            <w:rPr>
              <w:rStyle w:val="Brojstranice"/>
              <w:noProof/>
              <w:sz w:val="16"/>
            </w:rPr>
            <w:t>1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E541F2" w:rsidTr="0078786F">
      <w:trPr>
        <w:cantSplit/>
        <w:trHeight w:val="104"/>
        <w:jc w:val="center"/>
      </w:trPr>
      <w:tc>
        <w:tcPr>
          <w:tcW w:w="1476" w:type="dxa"/>
          <w:vMerge/>
          <w:vAlign w:val="center"/>
        </w:tcPr>
        <w:p w:rsidR="00E541F2" w:rsidRDefault="00E541F2">
          <w:pPr>
            <w:pStyle w:val="Zaglavlje"/>
            <w:jc w:val="center"/>
          </w:pPr>
        </w:p>
      </w:tc>
      <w:tc>
        <w:tcPr>
          <w:tcW w:w="10993" w:type="dxa"/>
          <w:vAlign w:val="center"/>
        </w:tcPr>
        <w:p w:rsidR="00E541F2" w:rsidRDefault="00E541F2" w:rsidP="00FD6BA9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CILJEVI  ZA ŠKOLSKU GODINU 201</w:t>
          </w:r>
          <w:r w:rsidR="00406323">
            <w:rPr>
              <w:b/>
              <w:bCs/>
            </w:rPr>
            <w:t>8</w:t>
          </w:r>
          <w:r>
            <w:rPr>
              <w:b/>
              <w:bCs/>
            </w:rPr>
            <w:t>./201</w:t>
          </w:r>
          <w:r w:rsidR="00406323">
            <w:rPr>
              <w:b/>
              <w:bCs/>
            </w:rPr>
            <w:t>9</w:t>
          </w:r>
          <w:r>
            <w:rPr>
              <w:b/>
              <w:bCs/>
            </w:rPr>
            <w:t>.</w:t>
          </w:r>
        </w:p>
      </w:tc>
      <w:tc>
        <w:tcPr>
          <w:tcW w:w="1843" w:type="dxa"/>
          <w:vMerge/>
          <w:vAlign w:val="center"/>
        </w:tcPr>
        <w:p w:rsidR="00E541F2" w:rsidRDefault="00E541F2">
          <w:pPr>
            <w:pStyle w:val="Zaglavlje"/>
            <w:jc w:val="center"/>
            <w:rPr>
              <w:sz w:val="16"/>
            </w:rPr>
          </w:pPr>
        </w:p>
      </w:tc>
    </w:tr>
  </w:tbl>
  <w:p w:rsidR="00E541F2" w:rsidRDefault="00E541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E3"/>
    <w:multiLevelType w:val="hybridMultilevel"/>
    <w:tmpl w:val="DCBEE9B2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33FA9"/>
    <w:multiLevelType w:val="hybridMultilevel"/>
    <w:tmpl w:val="F55420A8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C0F95"/>
    <w:multiLevelType w:val="hybridMultilevel"/>
    <w:tmpl w:val="D08AC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109A"/>
    <w:multiLevelType w:val="hybridMultilevel"/>
    <w:tmpl w:val="0924E710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E763AA4"/>
    <w:multiLevelType w:val="hybridMultilevel"/>
    <w:tmpl w:val="D94CB960"/>
    <w:lvl w:ilvl="0" w:tplc="041A000F">
      <w:start w:val="1"/>
      <w:numFmt w:val="decimal"/>
      <w:lvlText w:val="%1."/>
      <w:lvlJc w:val="left"/>
      <w:pPr>
        <w:ind w:left="220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6A7A"/>
    <w:multiLevelType w:val="hybridMultilevel"/>
    <w:tmpl w:val="2384DB3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A877B29"/>
    <w:multiLevelType w:val="hybridMultilevel"/>
    <w:tmpl w:val="3ED627C2"/>
    <w:lvl w:ilvl="0" w:tplc="00F8875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0"/>
    <w:rsid w:val="0003326E"/>
    <w:rsid w:val="000A018B"/>
    <w:rsid w:val="000B3C17"/>
    <w:rsid w:val="000D721A"/>
    <w:rsid w:val="000E4A52"/>
    <w:rsid w:val="00126007"/>
    <w:rsid w:val="00163B44"/>
    <w:rsid w:val="001E6EA7"/>
    <w:rsid w:val="001F4A85"/>
    <w:rsid w:val="002B1E3A"/>
    <w:rsid w:val="00342D13"/>
    <w:rsid w:val="00377376"/>
    <w:rsid w:val="00387892"/>
    <w:rsid w:val="003B0562"/>
    <w:rsid w:val="003B27AB"/>
    <w:rsid w:val="003C5249"/>
    <w:rsid w:val="003E6D95"/>
    <w:rsid w:val="00406323"/>
    <w:rsid w:val="00426FCC"/>
    <w:rsid w:val="00434FDD"/>
    <w:rsid w:val="004C70F7"/>
    <w:rsid w:val="005A512B"/>
    <w:rsid w:val="005D6632"/>
    <w:rsid w:val="006333BB"/>
    <w:rsid w:val="00653348"/>
    <w:rsid w:val="006D1AE7"/>
    <w:rsid w:val="0078786F"/>
    <w:rsid w:val="00793846"/>
    <w:rsid w:val="007973B8"/>
    <w:rsid w:val="007C2A63"/>
    <w:rsid w:val="007E105C"/>
    <w:rsid w:val="00840362"/>
    <w:rsid w:val="00871B15"/>
    <w:rsid w:val="008A7B0C"/>
    <w:rsid w:val="008E75A4"/>
    <w:rsid w:val="0093076C"/>
    <w:rsid w:val="009410D3"/>
    <w:rsid w:val="009558AB"/>
    <w:rsid w:val="009560E0"/>
    <w:rsid w:val="00956206"/>
    <w:rsid w:val="00965BCC"/>
    <w:rsid w:val="00970072"/>
    <w:rsid w:val="009C01C2"/>
    <w:rsid w:val="009D04F0"/>
    <w:rsid w:val="00A117AA"/>
    <w:rsid w:val="00A20F48"/>
    <w:rsid w:val="00A45A77"/>
    <w:rsid w:val="00A45DF7"/>
    <w:rsid w:val="00A46954"/>
    <w:rsid w:val="00A548E6"/>
    <w:rsid w:val="00AB375F"/>
    <w:rsid w:val="00B4039C"/>
    <w:rsid w:val="00B6667F"/>
    <w:rsid w:val="00B81409"/>
    <w:rsid w:val="00B84D18"/>
    <w:rsid w:val="00C21EC5"/>
    <w:rsid w:val="00C51F7A"/>
    <w:rsid w:val="00CB7D60"/>
    <w:rsid w:val="00CD5FC1"/>
    <w:rsid w:val="00D43F89"/>
    <w:rsid w:val="00D47830"/>
    <w:rsid w:val="00D94184"/>
    <w:rsid w:val="00DC2EC6"/>
    <w:rsid w:val="00E17EE1"/>
    <w:rsid w:val="00E541F2"/>
    <w:rsid w:val="00E65FDE"/>
    <w:rsid w:val="00E72570"/>
    <w:rsid w:val="00F35D9F"/>
    <w:rsid w:val="00F97D0A"/>
    <w:rsid w:val="00FA2C71"/>
    <w:rsid w:val="00FC3B80"/>
    <w:rsid w:val="00FD679D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EFE5B5-07C6-4239-BE0C-198E34D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18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table" w:styleId="Reetkatablice">
    <w:name w:val="Table Grid"/>
    <w:basedOn w:val="Obinatablica"/>
    <w:rsid w:val="005D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51F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D5DC-7ECA-4CBF-8E4F-CA205ED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Izvješća o godišnjem planu i programu za školsku godinu 2008</vt:lpstr>
      <vt:lpstr>Temeljem Izvješća o godišnjem planu i programu za školsku godinu 2008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Izvješća o godišnjem planu i programu za školsku godinu 2008</dc:title>
  <dc:subject/>
  <dc:creator>S. Š. A. HARAČIĆA</dc:creator>
  <cp:keywords/>
  <cp:lastModifiedBy>Aldina Burić</cp:lastModifiedBy>
  <cp:revision>2</cp:revision>
  <cp:lastPrinted>2017-05-25T13:24:00Z</cp:lastPrinted>
  <dcterms:created xsi:type="dcterms:W3CDTF">2019-04-25T14:49:00Z</dcterms:created>
  <dcterms:modified xsi:type="dcterms:W3CDTF">2019-04-25T14:49:00Z</dcterms:modified>
</cp:coreProperties>
</file>